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bookmarkStart w:id="0" w:name="_Toc82529159"/>
      <w:r w:rsidRPr="00702DB4">
        <w:rPr>
          <w:rFonts w:ascii="方正小标宋简体" w:eastAsia="方正小标宋简体" w:hAnsiTheme="minorEastAsia" w:hint="eastAsia"/>
          <w:sz w:val="44"/>
          <w:szCs w:val="44"/>
        </w:rPr>
        <w:t>福州大学基建</w:t>
      </w:r>
      <w:r w:rsidRPr="00A90FFF">
        <w:rPr>
          <w:rFonts w:ascii="方正小标宋简体" w:eastAsia="方正小标宋简体" w:hAnsiTheme="minorEastAsia" w:hint="eastAsia"/>
          <w:sz w:val="44"/>
          <w:szCs w:val="44"/>
        </w:rPr>
        <w:t>工</w:t>
      </w:r>
      <w:bookmarkStart w:id="1" w:name="_GoBack"/>
      <w:bookmarkEnd w:id="1"/>
      <w:r w:rsidRPr="00A90FFF">
        <w:rPr>
          <w:rFonts w:ascii="方正小标宋简体" w:eastAsia="方正小标宋简体" w:hAnsiTheme="minorEastAsia" w:hint="eastAsia"/>
          <w:sz w:val="44"/>
          <w:szCs w:val="44"/>
        </w:rPr>
        <w:t>程项</w:t>
      </w:r>
      <w:r w:rsidRPr="00702DB4">
        <w:rPr>
          <w:rFonts w:ascii="方正小标宋简体" w:eastAsia="方正小标宋简体" w:hAnsiTheme="minorEastAsia" w:hint="eastAsia"/>
          <w:sz w:val="44"/>
          <w:szCs w:val="44"/>
        </w:rPr>
        <w:t>目公开招标流程图</w:t>
      </w:r>
      <w:bookmarkEnd w:id="0"/>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3F1D99" w:rsidP="00950D37">
      <w:r>
        <w:rPr>
          <w:noProof/>
        </w:rPr>
        <w:pict>
          <v:shapetype id="_x0000_t202" coordsize="21600,21600" o:spt="202" path="m,l,21600r21600,l21600,xe">
            <v:stroke joinstyle="miter"/>
            <v:path gradientshapeok="t" o:connecttype="rect"/>
          </v:shapetype>
          <v:shape id="_x0000_s1055" type="#_x0000_t202" style="position:absolute;left:0;text-align:left;margin-left:151.9pt;margin-top:588.55pt;width:120.65pt;height:23.55pt;z-index:251689984;mso-height-percent:200;mso-height-percent:200;mso-width-relative:margin;mso-height-relative:margin">
            <v:textbox style="mso-next-textbox:#_x0000_s1055;mso-fit-shape-to-text:t">
              <w:txbxContent>
                <w:p w:rsidR="00950D37" w:rsidRPr="005A5739" w:rsidRDefault="00950D37" w:rsidP="00950D37">
                  <w:pPr>
                    <w:jc w:val="center"/>
                    <w:rPr>
                      <w:rFonts w:asciiTheme="minorEastAsia" w:hAnsiTheme="minorEastAsia"/>
                    </w:rPr>
                  </w:pPr>
                  <w:r w:rsidRPr="005A5739">
                    <w:rPr>
                      <w:rFonts w:asciiTheme="minorEastAsia" w:hAnsiTheme="minorEastAsia" w:hint="eastAsia"/>
                    </w:rPr>
                    <w:t>与中标人签订合同</w:t>
                  </w:r>
                </w:p>
              </w:txbxContent>
            </v:textbox>
          </v:shape>
        </w:pict>
      </w:r>
      <w:r>
        <w:rPr>
          <w:noProof/>
        </w:rPr>
        <w:pict>
          <v:shapetype id="_x0000_t32" coordsize="21600,21600" o:spt="32" o:oned="t" path="m,l21600,21600e" filled="f">
            <v:path arrowok="t" fillok="f" o:connecttype="none"/>
            <o:lock v:ext="edit" shapetype="t"/>
          </v:shapetype>
          <v:shape id="_x0000_s1054" type="#_x0000_t32" style="position:absolute;left:0;text-align:left;margin-left:208.9pt;margin-top:567.35pt;width:0;height:21.2pt;z-index:251688960" o:connectortype="straight">
            <v:stroke endarrow="block"/>
          </v:shape>
        </w:pict>
      </w:r>
      <w:r>
        <w:rPr>
          <w:noProof/>
        </w:rPr>
        <w:pict>
          <v:shape id="_x0000_s1053" type="#_x0000_t202" style="position:absolute;left:0;text-align:left;margin-left:135pt;margin-top:543.35pt;width:147.05pt;height:24pt;z-index:251687936;mso-width-relative:margin;mso-height-relative:margin">
            <v:textbox style="mso-next-textbox:#_x0000_s1053">
              <w:txbxContent>
                <w:p w:rsidR="00950D37" w:rsidRPr="005A5739" w:rsidRDefault="00950D37" w:rsidP="00950D37">
                  <w:pPr>
                    <w:jc w:val="center"/>
                    <w:rPr>
                      <w:rFonts w:asciiTheme="minorEastAsia" w:hAnsiTheme="minorEastAsia"/>
                    </w:rPr>
                  </w:pPr>
                  <w:r w:rsidRPr="005A5739">
                    <w:rPr>
                      <w:rFonts w:asciiTheme="minorEastAsia" w:hAnsiTheme="minorEastAsia" w:hint="eastAsia"/>
                    </w:rPr>
                    <w:t>向中标人发出中标通知书</w:t>
                  </w:r>
                </w:p>
              </w:txbxContent>
            </v:textbox>
          </v:shape>
        </w:pict>
      </w:r>
      <w:r>
        <w:rPr>
          <w:noProof/>
        </w:rPr>
        <w:pict>
          <v:shape id="_x0000_s1052" type="#_x0000_t32" style="position:absolute;left:0;text-align:left;margin-left:208.9pt;margin-top:524.35pt;width:0;height:19pt;z-index:251686912" o:connectortype="straight">
            <v:stroke endarrow="block"/>
          </v:shape>
        </w:pict>
      </w:r>
      <w:r>
        <w:rPr>
          <w:noProof/>
        </w:rPr>
        <w:pict>
          <v:shape id="_x0000_s1051" type="#_x0000_t202" style="position:absolute;left:0;text-align:left;margin-left:96.3pt;margin-top:484.75pt;width:219.8pt;height:39.15pt;z-index:251685888;mso-height-percent:200;mso-height-percent:200;mso-width-relative:margin;mso-height-relative:margin">
            <v:textbox style="mso-next-textbox:#_x0000_s1051;mso-fit-shape-to-text:t">
              <w:txbxContent>
                <w:p w:rsidR="00950D37" w:rsidRPr="005A5739" w:rsidRDefault="00950D37" w:rsidP="00950D37">
                  <w:pPr>
                    <w:rPr>
                      <w:rFonts w:asciiTheme="minorEastAsia" w:hAnsiTheme="minorEastAsia"/>
                    </w:rPr>
                  </w:pPr>
                  <w:r w:rsidRPr="005A5739">
                    <w:rPr>
                      <w:rFonts w:asciiTheme="minorEastAsia" w:hAnsiTheme="minorEastAsia" w:hint="eastAsia"/>
                    </w:rPr>
                    <w:t>在福建省公共资源交易电子公共服务平台及福州大学校园网上发布中标结果公示</w:t>
                  </w:r>
                </w:p>
              </w:txbxContent>
            </v:textbox>
          </v:shape>
        </w:pict>
      </w:r>
      <w:r>
        <w:rPr>
          <w:noProof/>
        </w:rPr>
        <w:pict>
          <v:shape id="_x0000_s1050" type="#_x0000_t32" style="position:absolute;left:0;text-align:left;margin-left:208.9pt;margin-top:460.95pt;width:0;height:23.8pt;z-index:251684864" o:connectortype="straight">
            <v:stroke endarrow="block"/>
          </v:shape>
        </w:pict>
      </w:r>
      <w:r>
        <w:rPr>
          <w:noProof/>
        </w:rPr>
        <w:pict>
          <v:shape id="_x0000_s1049" type="#_x0000_t202" style="position:absolute;left:0;text-align:left;margin-left:160.35pt;margin-top:437.4pt;width:96.6pt;height:23.55pt;z-index:251683840;mso-height-percent:200;mso-height-percent:200;mso-width-relative:margin;mso-height-relative:margin">
            <v:textbox style="mso-next-textbox:#_x0000_s1049;mso-fit-shape-to-text:t">
              <w:txbxContent>
                <w:p w:rsidR="00950D37" w:rsidRPr="005A5739" w:rsidRDefault="00950D37" w:rsidP="00950D37">
                  <w:pPr>
                    <w:jc w:val="center"/>
                    <w:rPr>
                      <w:rFonts w:asciiTheme="minorEastAsia" w:hAnsiTheme="minorEastAsia"/>
                    </w:rPr>
                  </w:pPr>
                  <w:r w:rsidRPr="005A5739">
                    <w:rPr>
                      <w:rFonts w:asciiTheme="minorEastAsia" w:hAnsiTheme="minorEastAsia" w:hint="eastAsia"/>
                    </w:rPr>
                    <w:t>监督评标过程</w:t>
                  </w:r>
                </w:p>
              </w:txbxContent>
            </v:textbox>
          </v:shape>
        </w:pict>
      </w:r>
      <w:r>
        <w:rPr>
          <w:noProof/>
        </w:rPr>
        <w:pict>
          <v:shape id="_x0000_s1048" type="#_x0000_t32" style="position:absolute;left:0;text-align:left;margin-left:208.9pt;margin-top:419.1pt;width:0;height:17.9pt;z-index:251682816" o:connectortype="straight">
            <v:stroke endarrow="block"/>
          </v:shape>
        </w:pict>
      </w:r>
      <w:r>
        <w:rPr>
          <w:noProof/>
        </w:rPr>
        <w:pict>
          <v:shape id="_x0000_s1047" type="#_x0000_t202" style="position:absolute;left:0;text-align:left;margin-left:129.75pt;margin-top:395.15pt;width:160.95pt;height:23.55pt;z-index:251681792;mso-height-percent:200;mso-height-percent:200;mso-width-relative:margin;mso-height-relative:margin">
            <v:textbox style="mso-next-textbox:#_x0000_s1047;mso-fit-shape-to-text:t">
              <w:txbxContent>
                <w:p w:rsidR="00950D37" w:rsidRPr="005A5739" w:rsidRDefault="00950D37" w:rsidP="00950D37">
                  <w:pPr>
                    <w:jc w:val="center"/>
                    <w:rPr>
                      <w:rFonts w:asciiTheme="minorEastAsia" w:hAnsiTheme="minorEastAsia"/>
                    </w:rPr>
                  </w:pPr>
                  <w:r w:rsidRPr="005A5739">
                    <w:rPr>
                      <w:rFonts w:asciiTheme="minorEastAsia" w:hAnsiTheme="minorEastAsia" w:hint="eastAsia"/>
                    </w:rPr>
                    <w:t>监督评标委员会的抽取</w:t>
                  </w:r>
                </w:p>
              </w:txbxContent>
            </v:textbox>
          </v:shape>
        </w:pict>
      </w:r>
      <w:r>
        <w:rPr>
          <w:noProof/>
        </w:rPr>
        <w:pict>
          <v:shape id="_x0000_s1046" type="#_x0000_t32" style="position:absolute;left:0;text-align:left;margin-left:208.9pt;margin-top:375.15pt;width:0;height:20pt;z-index:251680768" o:connectortype="straight">
            <v:stroke endarrow="block"/>
          </v:shape>
        </w:pict>
      </w:r>
      <w:r>
        <w:rPr>
          <w:noProof/>
        </w:rPr>
        <w:pict>
          <v:shape id="_x0000_s1043" type="#_x0000_t202" style="position:absolute;left:0;text-align:left;margin-left:151.5pt;margin-top:303.1pt;width:120.2pt;height:23.55pt;z-index:251677696;mso-height-percent:200;mso-height-percent:200;mso-width-relative:margin;mso-height-relative:margin">
            <v:textbox style="mso-next-textbox:#_x0000_s1043;mso-fit-shape-to-text:t">
              <w:txbxContent>
                <w:p w:rsidR="00950D37" w:rsidRPr="005A5739" w:rsidRDefault="00950D37" w:rsidP="00950D37">
                  <w:pPr>
                    <w:jc w:val="center"/>
                    <w:rPr>
                      <w:rFonts w:asciiTheme="minorEastAsia" w:hAnsiTheme="minorEastAsia"/>
                    </w:rPr>
                  </w:pPr>
                  <w:r w:rsidRPr="005A5739">
                    <w:rPr>
                      <w:rFonts w:asciiTheme="minorEastAsia" w:hAnsiTheme="minorEastAsia" w:hint="eastAsia"/>
                    </w:rPr>
                    <w:t>进入公开招标程序</w:t>
                  </w:r>
                </w:p>
              </w:txbxContent>
            </v:textbox>
          </v:shape>
        </w:pict>
      </w:r>
      <w:r>
        <w:rPr>
          <w:noProof/>
        </w:rPr>
        <w:pict>
          <v:shape id="_x0000_s1045" type="#_x0000_t202" style="position:absolute;left:0;text-align:left;margin-left:143.65pt;margin-top:351.2pt;width:135.6pt;height:23.55pt;z-index:251679744;mso-height-percent:200;mso-height-percent:200;mso-width-relative:margin;mso-height-relative:margin">
            <v:textbox style="mso-next-textbox:#_x0000_s1045;mso-fit-shape-to-text:t">
              <w:txbxContent>
                <w:p w:rsidR="00950D37" w:rsidRPr="005A5739" w:rsidRDefault="00950D37" w:rsidP="00950D37">
                  <w:pPr>
                    <w:jc w:val="center"/>
                    <w:rPr>
                      <w:rFonts w:asciiTheme="minorEastAsia" w:hAnsiTheme="minorEastAsia"/>
                    </w:rPr>
                  </w:pPr>
                  <w:r w:rsidRPr="005A5739">
                    <w:rPr>
                      <w:rFonts w:asciiTheme="minorEastAsia" w:hAnsiTheme="minorEastAsia" w:hint="eastAsia"/>
                    </w:rPr>
                    <w:t>监督投标、开标过程</w:t>
                  </w:r>
                </w:p>
              </w:txbxContent>
            </v:textbox>
          </v:shape>
        </w:pict>
      </w:r>
      <w:r>
        <w:rPr>
          <w:noProof/>
        </w:rPr>
        <w:pict>
          <v:shape id="_x0000_s1044" type="#_x0000_t32" style="position:absolute;left:0;text-align:left;margin-left:208.9pt;margin-top:326.65pt;width:0;height:24.15pt;z-index:251678720" o:connectortype="straight">
            <v:stroke endarrow="block"/>
          </v:shape>
        </w:pict>
      </w:r>
      <w:r>
        <w:rPr>
          <w:noProof/>
        </w:rPr>
        <w:pict>
          <v:shape id="_x0000_s1042" type="#_x0000_t32" style="position:absolute;left:0;text-align:left;margin-left:208.9pt;margin-top:283.65pt;width:0;height:18.6pt;z-index:251676672" o:connectortype="straight">
            <v:stroke endarrow="block"/>
          </v:shape>
        </w:pict>
      </w:r>
      <w:r>
        <w:rPr>
          <w:noProof/>
        </w:rPr>
        <w:pict>
          <v:shape id="_x0000_s1041" type="#_x0000_t202" style="position:absolute;left:0;text-align:left;margin-left:84.15pt;margin-top:244.5pt;width:241.45pt;height:39.15pt;z-index:251675648;mso-height-percent:200;mso-height-percent:200;mso-width-relative:margin;mso-height-relative:margin">
            <v:textbox style="mso-next-textbox:#_x0000_s1041;mso-fit-shape-to-text:t">
              <w:txbxContent>
                <w:p w:rsidR="00950D37" w:rsidRPr="005A5739" w:rsidRDefault="00950D37" w:rsidP="00950D37">
                  <w:pPr>
                    <w:rPr>
                      <w:rFonts w:asciiTheme="minorEastAsia" w:hAnsiTheme="minorEastAsia"/>
                    </w:rPr>
                  </w:pPr>
                  <w:r w:rsidRPr="005A5739">
                    <w:rPr>
                      <w:rFonts w:asciiTheme="minorEastAsia" w:hAnsiTheme="minorEastAsia" w:hint="eastAsia"/>
                    </w:rPr>
                    <w:t>招标文件经处专题会议讨论定稿：施工造价30万元以上工程项目控制价一编一审，确定招标控制价</w:t>
                  </w:r>
                </w:p>
              </w:txbxContent>
            </v:textbox>
          </v:shape>
        </w:pict>
      </w:r>
      <w:r>
        <w:rPr>
          <w:noProof/>
        </w:rPr>
        <w:pict>
          <v:shape id="_x0000_s1040" type="#_x0000_t32" style="position:absolute;left:0;text-align:left;margin-left:208.9pt;margin-top:225.85pt;width:0;height:17.8pt;z-index:251674624" o:connectortype="straight">
            <v:stroke endarrow="block"/>
          </v:shape>
        </w:pict>
      </w:r>
      <w:r>
        <w:rPr>
          <w:noProof/>
        </w:rPr>
        <w:pict>
          <v:shape id="_x0000_s1039" type="#_x0000_t202" style="position:absolute;left:0;text-align:left;margin-left:134.3pt;margin-top:186.7pt;width:147.35pt;height:39.15pt;z-index:251673600;mso-height-percent:200;mso-height-percent:200;mso-width-relative:margin;mso-height-relative:margin">
            <v:textbox style="mso-next-textbox:#_x0000_s1039;mso-fit-shape-to-text:t">
              <w:txbxContent>
                <w:p w:rsidR="00950D37" w:rsidRPr="005A5739" w:rsidRDefault="00950D37" w:rsidP="00950D37">
                  <w:pPr>
                    <w:rPr>
                      <w:rFonts w:asciiTheme="minorEastAsia" w:hAnsiTheme="minorEastAsia"/>
                    </w:rPr>
                  </w:pPr>
                  <w:r w:rsidRPr="005A5739">
                    <w:rPr>
                      <w:rFonts w:asciiTheme="minorEastAsia" w:hAnsiTheme="minorEastAsia" w:hint="eastAsia"/>
                    </w:rPr>
                    <w:t>招标代理单位编制招标文件、工程量清单、招标控制价</w:t>
                  </w:r>
                </w:p>
              </w:txbxContent>
            </v:textbox>
          </v:shape>
        </w:pict>
      </w:r>
      <w:r>
        <w:rPr>
          <w:noProof/>
        </w:rPr>
        <w:pict>
          <v:shape id="_x0000_s1038" type="#_x0000_t32" style="position:absolute;left:0;text-align:left;margin-left:208.9pt;margin-top:167.9pt;width:0;height:18.8pt;z-index:251672576" o:connectortype="straight">
            <v:stroke endarrow="block"/>
          </v:shape>
        </w:pict>
      </w:r>
      <w:r>
        <w:rPr>
          <w:noProof/>
        </w:rPr>
        <w:pict>
          <v:shape id="_x0000_s1037" type="#_x0000_t202" style="position:absolute;left:0;text-align:left;margin-left:105.9pt;margin-top:139.8pt;width:209.75pt;height:28.1pt;z-index:251671552;mso-width-relative:margin;mso-height-relative:margin">
            <v:textbox style="mso-next-textbox:#_x0000_s1037">
              <w:txbxContent>
                <w:p w:rsidR="00950D37" w:rsidRPr="005A5739" w:rsidRDefault="00950D37" w:rsidP="00950D37">
                  <w:pPr>
                    <w:rPr>
                      <w:rFonts w:asciiTheme="minorEastAsia" w:hAnsiTheme="minorEastAsia"/>
                    </w:rPr>
                  </w:pPr>
                  <w:r w:rsidRPr="005A5739">
                    <w:rPr>
                      <w:rFonts w:asciiTheme="minorEastAsia" w:hAnsiTheme="minorEastAsia" w:hint="eastAsia"/>
                    </w:rPr>
                    <w:t>确定招标代理(含造价咨询)单位,签订合同</w:t>
                  </w:r>
                </w:p>
              </w:txbxContent>
            </v:textbox>
          </v:shape>
        </w:pict>
      </w:r>
      <w:r>
        <w:rPr>
          <w:noProof/>
        </w:rPr>
        <w:pict>
          <v:shape id="_x0000_s1036" type="#_x0000_t32" style="position:absolute;left:0;text-align:left;margin-left:208.9pt;margin-top:115.55pt;width:0;height:24.25pt;z-index:251670528" o:connectortype="straight">
            <v:stroke endarrow="block"/>
          </v:shape>
        </w:pict>
      </w:r>
      <w:r>
        <w:rPr>
          <w:noProof/>
        </w:rPr>
        <w:pict>
          <v:shape id="_x0000_s1035" type="#_x0000_t32" style="position:absolute;left:0;text-align:left;margin-left:84.15pt;margin-top:115.55pt;width:266.2pt;height:0;z-index:251669504" o:connectortype="straight"/>
        </w:pict>
      </w:r>
      <w:r>
        <w:rPr>
          <w:noProof/>
        </w:rPr>
        <w:pict>
          <v:shape id="_x0000_s1034" type="#_x0000_t32" style="position:absolute;left:0;text-align:left;margin-left:350.35pt;margin-top:106.55pt;width:0;height:9pt;z-index:251668480" o:connectortype="straight"/>
        </w:pict>
      </w:r>
      <w:r>
        <w:rPr>
          <w:noProof/>
        </w:rPr>
        <w:pict>
          <v:shape id="_x0000_s1033" type="#_x0000_t32" style="position:absolute;left:0;text-align:left;margin-left:84.15pt;margin-top:106.55pt;width:0;height:9pt;z-index:251667456" o:connectortype="straight"/>
        </w:pict>
      </w:r>
      <w:r>
        <w:rPr>
          <w:noProof/>
        </w:rPr>
        <w:pict>
          <v:shape id="_x0000_s1032" type="#_x0000_t202" style="position:absolute;left:0;text-align:left;margin-left:290.7pt;margin-top:67pt;width:165.25pt;height:39.15pt;z-index:251666432;mso-width-percent:400;mso-height-percent:200;mso-width-percent:400;mso-height-percent:200;mso-width-relative:margin;mso-height-relative:margin">
            <v:textbox style="mso-next-textbox:#_x0000_s1032;mso-fit-shape-to-text:t">
              <w:txbxContent>
                <w:p w:rsidR="00950D37" w:rsidRPr="005A5739" w:rsidRDefault="00950D37" w:rsidP="00950D37">
                  <w:pPr>
                    <w:rPr>
                      <w:rFonts w:asciiTheme="minorEastAsia" w:hAnsiTheme="minorEastAsia"/>
                    </w:rPr>
                  </w:pPr>
                  <w:r w:rsidRPr="005A5739">
                    <w:rPr>
                      <w:rFonts w:asciiTheme="minorEastAsia" w:hAnsiTheme="minorEastAsia" w:hint="eastAsia"/>
                    </w:rPr>
                    <w:t>福州大学工程类招标代理(含造价咨询)机构资格库中随机抽取</w:t>
                  </w:r>
                </w:p>
              </w:txbxContent>
            </v:textbox>
          </v:shape>
        </w:pict>
      </w:r>
      <w:r>
        <w:rPr>
          <w:noProof/>
        </w:rPr>
        <w:pict>
          <v:shape id="_x0000_s1031" type="#_x0000_t202" style="position:absolute;left:0;text-align:left;margin-left:-16.1pt;margin-top:67pt;width:145.45pt;height:39.15pt;z-index:251665408;mso-height-percent:200;mso-height-percent:200;mso-width-relative:margin;mso-height-relative:margin">
            <v:textbox style="mso-next-textbox:#_x0000_s1031;mso-fit-shape-to-text:t">
              <w:txbxContent>
                <w:p w:rsidR="00950D37" w:rsidRPr="005A5739" w:rsidRDefault="00950D37" w:rsidP="00950D37">
                  <w:pPr>
                    <w:rPr>
                      <w:rFonts w:asciiTheme="minorEastAsia" w:hAnsiTheme="minorEastAsia"/>
                    </w:rPr>
                  </w:pPr>
                  <w:r w:rsidRPr="005A5739">
                    <w:rPr>
                      <w:rFonts w:asciiTheme="minorEastAsia" w:hAnsiTheme="minorEastAsia" w:hint="eastAsia"/>
                    </w:rPr>
                    <w:t>依规至行政服务中心随机抽取招标代理单位</w:t>
                  </w:r>
                </w:p>
              </w:txbxContent>
            </v:textbox>
          </v:shape>
        </w:pict>
      </w:r>
      <w:r>
        <w:rPr>
          <w:noProof/>
        </w:rPr>
        <w:pict>
          <v:shape id="_x0000_s1029" type="#_x0000_t32" style="position:absolute;left:0;text-align:left;margin-left:58.2pt;margin-top:50.25pt;width:0;height:16.75pt;z-index:251663360" o:connectortype="straight">
            <v:stroke endarrow="block"/>
          </v:shape>
        </w:pict>
      </w:r>
      <w:r>
        <w:rPr>
          <w:noProof/>
        </w:rPr>
        <w:pict>
          <v:shape id="_x0000_s1030" type="#_x0000_t32" style="position:absolute;left:0;text-align:left;margin-left:373.8pt;margin-top:50.25pt;width:0;height:16.75pt;z-index:251664384" o:connectortype="straight">
            <v:stroke endarrow="block"/>
          </v:shape>
        </w:pict>
      </w:r>
      <w:r>
        <w:rPr>
          <w:noProof/>
        </w:rPr>
        <w:pict>
          <v:shape id="_x0000_s1028" type="#_x0000_t32" style="position:absolute;left:0;text-align:left;margin-left:58.2pt;margin-top:50.25pt;width:315.6pt;height:0;z-index:251662336" o:connectortype="straight"/>
        </w:pict>
      </w:r>
      <w:r>
        <w:rPr>
          <w:noProof/>
        </w:rPr>
        <w:pict>
          <v:shape id="_x0000_s1027" type="#_x0000_t32" style="position:absolute;left:0;text-align:left;margin-left:208.05pt;margin-top:24.35pt;width:.85pt;height:25.9pt;z-index:251661312" o:connectortype="straight">
            <v:stroke endarrow="block"/>
          </v:shape>
        </w:pict>
      </w:r>
      <w:r>
        <w:rPr>
          <w:noProof/>
        </w:rPr>
        <w:pict>
          <v:shape id="_x0000_s1026" type="#_x0000_t202" style="position:absolute;left:0;text-align:left;margin-left:0;margin-top:.4pt;width:128.05pt;height:23.55pt;z-index:251660288;mso-height-percent:200;mso-position-horizontal:center;mso-height-percent:200;mso-width-relative:margin;mso-height-relative:margin">
            <v:textbox style="mso-next-textbox:#_x0000_s1026;mso-fit-shape-to-text:t">
              <w:txbxContent>
                <w:p w:rsidR="00950D37" w:rsidRPr="00C35F06" w:rsidRDefault="00950D37" w:rsidP="00950D37">
                  <w:pPr>
                    <w:jc w:val="center"/>
                    <w:rPr>
                      <w:rFonts w:asciiTheme="minorEastAsia" w:hAnsiTheme="minorEastAsia"/>
                    </w:rPr>
                  </w:pPr>
                  <w:r w:rsidRPr="00C35F06">
                    <w:rPr>
                      <w:rFonts w:asciiTheme="minorEastAsia" w:hAnsiTheme="minorEastAsia" w:hint="eastAsia"/>
                    </w:rPr>
                    <w:t>选择招标代理单位</w:t>
                  </w:r>
                </w:p>
              </w:txbxContent>
            </v:textbox>
          </v:shape>
        </w:pict>
      </w: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noProof/>
          <w:sz w:val="32"/>
          <w:szCs w:val="32"/>
        </w:rPr>
      </w:pPr>
    </w:p>
    <w:p w:rsidR="00950D37" w:rsidRDefault="00950D37" w:rsidP="00950D37">
      <w:pPr>
        <w:widowControl/>
        <w:adjustRightInd w:val="0"/>
        <w:snapToGrid w:val="0"/>
        <w:spacing w:line="560" w:lineRule="atLeast"/>
        <w:jc w:val="center"/>
        <w:outlineLvl w:val="0"/>
        <w:rPr>
          <w:rFonts w:asciiTheme="minorEastAsia" w:hAnsiTheme="minorEastAsia"/>
          <w:sz w:val="32"/>
          <w:szCs w:val="32"/>
        </w:rPr>
      </w:pPr>
    </w:p>
    <w:p w:rsidR="00B829E2" w:rsidRPr="00950D37" w:rsidRDefault="00B829E2"/>
    <w:sectPr w:rsidR="00B829E2" w:rsidRPr="00950D37" w:rsidSect="00B829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99" w:rsidRDefault="003F1D99" w:rsidP="00950D37">
      <w:r>
        <w:separator/>
      </w:r>
    </w:p>
  </w:endnote>
  <w:endnote w:type="continuationSeparator" w:id="0">
    <w:p w:rsidR="003F1D99" w:rsidRDefault="003F1D99" w:rsidP="0095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仿宋_GB2312">
    <w:altName w:val="仿宋"/>
    <w:charset w:val="00"/>
    <w:family w:val="auto"/>
    <w:pitch w:val="default"/>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99" w:rsidRDefault="003F1D99" w:rsidP="00950D37">
      <w:r>
        <w:separator/>
      </w:r>
    </w:p>
  </w:footnote>
  <w:footnote w:type="continuationSeparator" w:id="0">
    <w:p w:rsidR="003F1D99" w:rsidRDefault="003F1D99" w:rsidP="00950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0D37"/>
    <w:rsid w:val="00277531"/>
    <w:rsid w:val="003F1D99"/>
    <w:rsid w:val="00472AAD"/>
    <w:rsid w:val="008F5005"/>
    <w:rsid w:val="00950D37"/>
    <w:rsid w:val="00B829E2"/>
    <w:rsid w:val="00C02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4"/>
        <o:r id="V:Rule2" type="connector" idref="#_x0000_s1040"/>
        <o:r id="V:Rule3" type="connector" idref="#_x0000_s1033"/>
        <o:r id="V:Rule4" type="connector" idref="#_x0000_s1050"/>
        <o:r id="V:Rule5" type="connector" idref="#_x0000_s1048"/>
        <o:r id="V:Rule6" type="connector" idref="#_x0000_s1028"/>
        <o:r id="V:Rule7" type="connector" idref="#_x0000_s1036"/>
        <o:r id="V:Rule8" type="connector" idref="#_x0000_s1027"/>
        <o:r id="V:Rule9" type="connector" idref="#_x0000_s1042"/>
        <o:r id="V:Rule10" type="connector" idref="#_x0000_s1038"/>
        <o:r id="V:Rule11" type="connector" idref="#_x0000_s1035"/>
        <o:r id="V:Rule12" type="connector" idref="#_x0000_s1030"/>
        <o:r id="V:Rule13" type="connector" idref="#_x0000_s1034"/>
        <o:r id="V:Rule14" type="connector" idref="#_x0000_s1054"/>
        <o:r id="V:Rule15" type="connector" idref="#_x0000_s1052"/>
        <o:r id="V:Rule16" type="connector" idref="#_x0000_s1046"/>
        <o:r id="V:Rule17" type="connector" idref="#_x0000_s1029"/>
      </o:rules>
    </o:shapelayout>
  </w:shapeDefaults>
  <w:decimalSymbol w:val="."/>
  <w:listSeparator w:val=","/>
  <w14:docId w14:val="66CC9368"/>
  <w15:docId w15:val="{CA14F422-15AF-4611-931D-404C8803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D37"/>
    <w:pPr>
      <w:widowControl w:val="0"/>
      <w:jc w:val="both"/>
    </w:pPr>
    <w:rPr>
      <w:szCs w:val="24"/>
    </w:rPr>
  </w:style>
  <w:style w:type="paragraph" w:styleId="1">
    <w:name w:val="heading 1"/>
    <w:basedOn w:val="a"/>
    <w:next w:val="a"/>
    <w:link w:val="10"/>
    <w:qFormat/>
    <w:rsid w:val="008F5005"/>
    <w:pPr>
      <w:pBdr>
        <w:bottom w:val="single" w:sz="2" w:space="0" w:color="EFF0F1"/>
      </w:pBdr>
      <w:spacing w:beforeAutospacing="1" w:afterAutospacing="1"/>
      <w:jc w:val="left"/>
      <w:outlineLvl w:val="0"/>
    </w:pPr>
    <w:rPr>
      <w:rFonts w:ascii="Trebuchet MS" w:eastAsia="宋体" w:hAnsi="Trebuchet MS" w:cs="Times New Roman"/>
      <w:b/>
      <w:bCs/>
      <w:color w:val="4B4B4B"/>
      <w:kern w:val="44"/>
      <w:sz w:val="24"/>
    </w:rPr>
  </w:style>
  <w:style w:type="paragraph" w:styleId="3">
    <w:name w:val="heading 3"/>
    <w:basedOn w:val="a"/>
    <w:next w:val="a"/>
    <w:link w:val="30"/>
    <w:semiHidden/>
    <w:unhideWhenUsed/>
    <w:qFormat/>
    <w:rsid w:val="008F5005"/>
    <w:pPr>
      <w:jc w:val="left"/>
      <w:outlineLvl w:val="2"/>
    </w:pPr>
    <w:rPr>
      <w:rFonts w:ascii="Trebuchet MS" w:eastAsia="宋体" w:hAnsi="Trebuchet MS" w:cs="Times New Roman"/>
      <w:b/>
      <w:bCs/>
      <w:color w:val="4B4B4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F5005"/>
    <w:rPr>
      <w:rFonts w:ascii="Trebuchet MS" w:eastAsia="宋体" w:hAnsi="Trebuchet MS" w:cs="Times New Roman"/>
      <w:b/>
      <w:bCs/>
      <w:color w:val="4B4B4B"/>
      <w:kern w:val="44"/>
      <w:sz w:val="24"/>
      <w:szCs w:val="24"/>
    </w:rPr>
  </w:style>
  <w:style w:type="character" w:customStyle="1" w:styleId="30">
    <w:name w:val="标题 3 字符"/>
    <w:basedOn w:val="a0"/>
    <w:link w:val="3"/>
    <w:semiHidden/>
    <w:rsid w:val="008F5005"/>
    <w:rPr>
      <w:rFonts w:ascii="Trebuchet MS" w:eastAsia="宋体" w:hAnsi="Trebuchet MS" w:cs="Times New Roman"/>
      <w:b/>
      <w:bCs/>
      <w:color w:val="4B4B4B"/>
      <w:kern w:val="0"/>
      <w:sz w:val="24"/>
      <w:szCs w:val="24"/>
    </w:rPr>
  </w:style>
  <w:style w:type="paragraph" w:styleId="11">
    <w:name w:val="toc 1"/>
    <w:basedOn w:val="a"/>
    <w:next w:val="a"/>
    <w:autoRedefine/>
    <w:uiPriority w:val="39"/>
    <w:qFormat/>
    <w:rsid w:val="008F5005"/>
  </w:style>
  <w:style w:type="paragraph" w:styleId="2">
    <w:name w:val="toc 2"/>
    <w:basedOn w:val="a"/>
    <w:next w:val="a"/>
    <w:autoRedefine/>
    <w:uiPriority w:val="39"/>
    <w:unhideWhenUsed/>
    <w:qFormat/>
    <w:rsid w:val="008F5005"/>
    <w:pPr>
      <w:widowControl/>
      <w:spacing w:after="100" w:line="276" w:lineRule="auto"/>
      <w:ind w:left="220"/>
      <w:jc w:val="left"/>
    </w:pPr>
    <w:rPr>
      <w:kern w:val="0"/>
      <w:sz w:val="22"/>
      <w:szCs w:val="22"/>
    </w:rPr>
  </w:style>
  <w:style w:type="paragraph" w:styleId="31">
    <w:name w:val="toc 3"/>
    <w:basedOn w:val="a"/>
    <w:next w:val="a"/>
    <w:autoRedefine/>
    <w:uiPriority w:val="39"/>
    <w:qFormat/>
    <w:rsid w:val="008F5005"/>
    <w:pPr>
      <w:ind w:leftChars="400" w:left="840"/>
    </w:pPr>
  </w:style>
  <w:style w:type="paragraph" w:styleId="a3">
    <w:name w:val="Body Text"/>
    <w:basedOn w:val="a"/>
    <w:link w:val="a4"/>
    <w:qFormat/>
    <w:rsid w:val="008F5005"/>
    <w:pPr>
      <w:spacing w:line="380" w:lineRule="exact"/>
    </w:pPr>
    <w:rPr>
      <w:rFonts w:ascii="仿宋_GB2312" w:eastAsia="仿宋_GB2312"/>
      <w:sz w:val="24"/>
      <w:szCs w:val="22"/>
    </w:rPr>
  </w:style>
  <w:style w:type="character" w:customStyle="1" w:styleId="a4">
    <w:name w:val="正文文本 字符"/>
    <w:basedOn w:val="a0"/>
    <w:link w:val="a3"/>
    <w:rsid w:val="008F5005"/>
    <w:rPr>
      <w:rFonts w:ascii="仿宋_GB2312" w:eastAsia="仿宋_GB2312"/>
      <w:sz w:val="24"/>
    </w:rPr>
  </w:style>
  <w:style w:type="character" w:styleId="a5">
    <w:name w:val="Strong"/>
    <w:basedOn w:val="a0"/>
    <w:qFormat/>
    <w:rsid w:val="008F5005"/>
    <w:rPr>
      <w:b/>
    </w:rPr>
  </w:style>
  <w:style w:type="paragraph" w:styleId="a6">
    <w:name w:val="Normal (Web)"/>
    <w:basedOn w:val="a"/>
    <w:qFormat/>
    <w:rsid w:val="008F5005"/>
    <w:pPr>
      <w:jc w:val="left"/>
    </w:pPr>
    <w:rPr>
      <w:rFonts w:cs="Times New Roman"/>
      <w:kern w:val="0"/>
      <w:sz w:val="24"/>
    </w:rPr>
  </w:style>
  <w:style w:type="paragraph" w:styleId="a7">
    <w:name w:val="List Paragraph"/>
    <w:basedOn w:val="a"/>
    <w:uiPriority w:val="34"/>
    <w:qFormat/>
    <w:rsid w:val="008F5005"/>
    <w:pPr>
      <w:ind w:firstLineChars="200" w:firstLine="420"/>
    </w:pPr>
    <w:rPr>
      <w:szCs w:val="22"/>
    </w:rPr>
  </w:style>
  <w:style w:type="paragraph" w:styleId="TOC">
    <w:name w:val="TOC Heading"/>
    <w:basedOn w:val="1"/>
    <w:next w:val="a"/>
    <w:uiPriority w:val="39"/>
    <w:unhideWhenUsed/>
    <w:qFormat/>
    <w:rsid w:val="008F5005"/>
    <w:pPr>
      <w:keepNext/>
      <w:keepLines/>
      <w:widowControl/>
      <w:pBdr>
        <w:bottom w:val="none" w:sz="0" w:space="0" w:color="auto"/>
      </w:pBdr>
      <w:spacing w:before="480" w:beforeAutospacing="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8">
    <w:name w:val="header"/>
    <w:basedOn w:val="a"/>
    <w:link w:val="a9"/>
    <w:uiPriority w:val="99"/>
    <w:unhideWhenUsed/>
    <w:rsid w:val="00950D3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50D37"/>
    <w:rPr>
      <w:sz w:val="18"/>
      <w:szCs w:val="18"/>
    </w:rPr>
  </w:style>
  <w:style w:type="paragraph" w:styleId="aa">
    <w:name w:val="footer"/>
    <w:basedOn w:val="a"/>
    <w:link w:val="ab"/>
    <w:uiPriority w:val="99"/>
    <w:unhideWhenUsed/>
    <w:rsid w:val="00950D37"/>
    <w:pPr>
      <w:tabs>
        <w:tab w:val="center" w:pos="4153"/>
        <w:tab w:val="right" w:pos="8306"/>
      </w:tabs>
      <w:snapToGrid w:val="0"/>
      <w:jc w:val="left"/>
    </w:pPr>
    <w:rPr>
      <w:sz w:val="18"/>
      <w:szCs w:val="18"/>
    </w:rPr>
  </w:style>
  <w:style w:type="character" w:customStyle="1" w:styleId="ab">
    <w:name w:val="页脚 字符"/>
    <w:basedOn w:val="a0"/>
    <w:link w:val="aa"/>
    <w:uiPriority w:val="99"/>
    <w:rsid w:val="00950D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62</Characters>
  <Application>Microsoft Office Word</Application>
  <DocSecurity>0</DocSecurity>
  <Lines>1</Lines>
  <Paragraphs>1</Paragraphs>
  <ScaleCrop>false</ScaleCrop>
  <Company>Microsoft</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MQ光</cp:lastModifiedBy>
  <cp:revision>3</cp:revision>
  <dcterms:created xsi:type="dcterms:W3CDTF">2021-10-08T07:02:00Z</dcterms:created>
  <dcterms:modified xsi:type="dcterms:W3CDTF">2021-10-12T11:28:00Z</dcterms:modified>
</cp:coreProperties>
</file>